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1589E" w14:textId="77777777" w:rsidR="00983C3D" w:rsidRDefault="00983C3D" w:rsidP="006072E7">
      <w:pPr>
        <w:autoSpaceDE w:val="0"/>
        <w:autoSpaceDN w:val="0"/>
        <w:adjustRightInd w:val="0"/>
        <w:spacing w:after="0" w:line="240" w:lineRule="auto"/>
        <w:ind w:right="422"/>
        <w:jc w:val="center"/>
        <w:rPr>
          <w:rFonts w:ascii="Arial" w:eastAsia="Times New Roman" w:hAnsi="Arial" w:cs="Arial"/>
          <w:b/>
          <w:bCs/>
          <w:color w:val="131313"/>
          <w:sz w:val="24"/>
          <w:szCs w:val="24"/>
          <w:lang w:val="en-MY" w:eastAsia="en-GB"/>
        </w:rPr>
      </w:pPr>
    </w:p>
    <w:p w14:paraId="4C3F04E5" w14:textId="63849412" w:rsidR="006072E7" w:rsidRPr="00933B53" w:rsidRDefault="006072E7" w:rsidP="006072E7">
      <w:pPr>
        <w:autoSpaceDE w:val="0"/>
        <w:autoSpaceDN w:val="0"/>
        <w:adjustRightInd w:val="0"/>
        <w:spacing w:after="0" w:line="240" w:lineRule="auto"/>
        <w:ind w:right="422"/>
        <w:jc w:val="center"/>
        <w:rPr>
          <w:rFonts w:ascii="Tahoma" w:eastAsia="Times New Roman" w:hAnsi="Tahoma" w:cs="Tahoma"/>
          <w:b/>
          <w:bCs/>
          <w:color w:val="131313"/>
          <w:sz w:val="24"/>
          <w:szCs w:val="24"/>
          <w:lang w:val="en-MY" w:eastAsia="en-GB"/>
        </w:rPr>
      </w:pPr>
      <w:r w:rsidRPr="00933B53">
        <w:rPr>
          <w:rFonts w:ascii="Tahoma" w:eastAsia="Times New Roman" w:hAnsi="Tahoma" w:cs="Tahoma"/>
          <w:b/>
          <w:bCs/>
          <w:color w:val="131313"/>
          <w:sz w:val="24"/>
          <w:szCs w:val="24"/>
          <w:lang w:val="en-MY" w:eastAsia="en-GB"/>
        </w:rPr>
        <w:t>DIETARY EDIBLE BIRD’S NEST SUPPLEMENTATION ON HIPPOCAMPAL NEURONS OF MULTIGENERATIONAL MICE</w:t>
      </w:r>
    </w:p>
    <w:p w14:paraId="28AB99DD" w14:textId="77777777" w:rsidR="006072E7" w:rsidRPr="00933B53" w:rsidRDefault="006072E7" w:rsidP="006072E7">
      <w:pPr>
        <w:spacing w:after="0" w:line="240" w:lineRule="auto"/>
        <w:rPr>
          <w:rFonts w:ascii="Tahoma" w:hAnsi="Tahoma" w:cs="Tahoma"/>
        </w:rPr>
      </w:pPr>
    </w:p>
    <w:p w14:paraId="5A3A7080" w14:textId="77777777" w:rsidR="006072E7" w:rsidRPr="00933B53" w:rsidRDefault="006072E7" w:rsidP="006072E7">
      <w:pPr>
        <w:spacing w:after="0" w:line="240" w:lineRule="auto"/>
        <w:jc w:val="center"/>
        <w:rPr>
          <w:rFonts w:ascii="Tahoma" w:hAnsi="Tahoma" w:cs="Tahoma"/>
          <w:b/>
          <w:sz w:val="20"/>
          <w:szCs w:val="20"/>
          <w:lang w:val="en-GB"/>
        </w:rPr>
      </w:pPr>
      <w:r w:rsidRPr="00933B53">
        <w:rPr>
          <w:rFonts w:ascii="Tahoma" w:hAnsi="Tahoma" w:cs="Tahoma"/>
          <w:b/>
          <w:sz w:val="20"/>
          <w:szCs w:val="20"/>
          <w:lang w:val="en-GB"/>
        </w:rPr>
        <w:t>Obaidullah Mahaq</w:t>
      </w:r>
      <w:r w:rsidRPr="00933B53">
        <w:rPr>
          <w:rFonts w:ascii="Tahoma" w:hAnsi="Tahoma" w:cs="Tahoma"/>
          <w:b/>
          <w:sz w:val="20"/>
          <w:szCs w:val="20"/>
          <w:vertAlign w:val="superscript"/>
          <w:lang w:val="en-GB"/>
        </w:rPr>
        <w:t>1,3</w:t>
      </w:r>
      <w:r w:rsidRPr="00933B53">
        <w:rPr>
          <w:rFonts w:ascii="Tahoma" w:hAnsi="Tahoma" w:cs="Tahoma"/>
          <w:b/>
          <w:sz w:val="20"/>
          <w:szCs w:val="20"/>
          <w:lang w:val="en-GB"/>
        </w:rPr>
        <w:t xml:space="preserve">, </w:t>
      </w:r>
      <w:proofErr w:type="spellStart"/>
      <w:r w:rsidRPr="00933B53">
        <w:rPr>
          <w:rFonts w:ascii="Tahoma" w:hAnsi="Tahoma" w:cs="Tahoma"/>
          <w:b/>
          <w:sz w:val="20"/>
          <w:szCs w:val="20"/>
          <w:lang w:val="en-MY"/>
        </w:rPr>
        <w:t>Hasliza</w:t>
      </w:r>
      <w:proofErr w:type="spellEnd"/>
      <w:r w:rsidRPr="00933B53">
        <w:rPr>
          <w:rFonts w:ascii="Tahoma" w:hAnsi="Tahoma" w:cs="Tahoma"/>
          <w:b/>
          <w:sz w:val="20"/>
          <w:szCs w:val="20"/>
          <w:lang w:val="en-MY"/>
        </w:rPr>
        <w:t xml:space="preserve"> Abu Hassim</w:t>
      </w:r>
      <w:r w:rsidRPr="00933B53">
        <w:rPr>
          <w:rFonts w:ascii="Tahoma" w:hAnsi="Tahoma" w:cs="Tahoma"/>
          <w:b/>
          <w:sz w:val="20"/>
          <w:szCs w:val="20"/>
          <w:vertAlign w:val="superscript"/>
          <w:lang w:val="en-MY"/>
        </w:rPr>
        <w:t>1,2</w:t>
      </w:r>
      <w:r w:rsidRPr="00933B53">
        <w:rPr>
          <w:rFonts w:ascii="Tahoma" w:hAnsi="Tahoma" w:cs="Tahoma"/>
          <w:b/>
          <w:sz w:val="20"/>
          <w:szCs w:val="20"/>
          <w:lang w:val="en-MY"/>
        </w:rPr>
        <w:t xml:space="preserve">, Mohd </w:t>
      </w:r>
      <w:proofErr w:type="spellStart"/>
      <w:r w:rsidRPr="00933B53">
        <w:rPr>
          <w:rFonts w:ascii="Tahoma" w:hAnsi="Tahoma" w:cs="Tahoma"/>
          <w:b/>
          <w:sz w:val="20"/>
          <w:szCs w:val="20"/>
          <w:lang w:val="en-MY"/>
        </w:rPr>
        <w:t>Hezmee</w:t>
      </w:r>
      <w:proofErr w:type="spellEnd"/>
      <w:r w:rsidRPr="00933B53">
        <w:rPr>
          <w:rFonts w:ascii="Tahoma" w:hAnsi="Tahoma" w:cs="Tahoma"/>
          <w:b/>
          <w:sz w:val="20"/>
          <w:szCs w:val="20"/>
          <w:lang w:val="en-MY"/>
        </w:rPr>
        <w:t xml:space="preserve"> Mohd Noor</w:t>
      </w:r>
      <w:r w:rsidRPr="00933B53">
        <w:rPr>
          <w:rFonts w:ascii="Tahoma" w:hAnsi="Tahoma" w:cs="Tahoma"/>
          <w:b/>
          <w:sz w:val="20"/>
          <w:szCs w:val="20"/>
          <w:vertAlign w:val="superscript"/>
          <w:lang w:val="en-MY"/>
        </w:rPr>
        <w:t>1</w:t>
      </w:r>
      <w:r w:rsidRPr="00933B53">
        <w:rPr>
          <w:rFonts w:ascii="Tahoma" w:hAnsi="Tahoma" w:cs="Tahoma"/>
          <w:b/>
          <w:sz w:val="20"/>
          <w:szCs w:val="20"/>
          <w:lang w:val="en-GB"/>
        </w:rPr>
        <w:t xml:space="preserve"> and </w:t>
      </w:r>
      <w:proofErr w:type="spellStart"/>
      <w:r w:rsidRPr="00933B53">
        <w:rPr>
          <w:rFonts w:ascii="Tahoma" w:hAnsi="Tahoma" w:cs="Tahoma"/>
          <w:b/>
          <w:sz w:val="20"/>
          <w:szCs w:val="20"/>
          <w:lang w:val="en-GB"/>
        </w:rPr>
        <w:t>Hafandi</w:t>
      </w:r>
      <w:proofErr w:type="spellEnd"/>
      <w:r w:rsidRPr="00933B53">
        <w:rPr>
          <w:rFonts w:ascii="Tahoma" w:hAnsi="Tahoma" w:cs="Tahoma"/>
          <w:b/>
          <w:sz w:val="20"/>
          <w:szCs w:val="20"/>
          <w:lang w:val="en-GB"/>
        </w:rPr>
        <w:t xml:space="preserve"> Ahmad</w:t>
      </w:r>
      <w:r w:rsidRPr="00933B53">
        <w:rPr>
          <w:rFonts w:ascii="Tahoma" w:hAnsi="Tahoma" w:cs="Tahoma"/>
          <w:b/>
          <w:sz w:val="20"/>
          <w:szCs w:val="20"/>
          <w:vertAlign w:val="superscript"/>
          <w:lang w:val="en-GB"/>
        </w:rPr>
        <w:t>1,2*</w:t>
      </w:r>
    </w:p>
    <w:p w14:paraId="0EFAC7B4" w14:textId="77777777" w:rsidR="006072E7" w:rsidRPr="00933B53" w:rsidRDefault="006072E7" w:rsidP="006072E7">
      <w:pPr>
        <w:tabs>
          <w:tab w:val="left" w:pos="2977"/>
        </w:tabs>
        <w:spacing w:after="0" w:line="240" w:lineRule="auto"/>
        <w:rPr>
          <w:rFonts w:ascii="Tahoma" w:hAnsi="Tahoma" w:cs="Tahoma"/>
          <w:b/>
          <w:sz w:val="20"/>
          <w:szCs w:val="20"/>
          <w:lang w:val="en-GB"/>
        </w:rPr>
      </w:pPr>
    </w:p>
    <w:p w14:paraId="45CBF8C4" w14:textId="77777777" w:rsidR="006072E7" w:rsidRPr="00933B53" w:rsidRDefault="006072E7" w:rsidP="006072E7">
      <w:pPr>
        <w:tabs>
          <w:tab w:val="left" w:pos="2977"/>
        </w:tabs>
        <w:spacing w:after="0" w:line="240" w:lineRule="auto"/>
        <w:jc w:val="center"/>
        <w:rPr>
          <w:rFonts w:ascii="Tahoma" w:hAnsi="Tahoma" w:cs="Tahoma"/>
          <w:iCs/>
          <w:sz w:val="20"/>
          <w:szCs w:val="20"/>
          <w:lang w:val="en-GB"/>
        </w:rPr>
      </w:pPr>
      <w:r w:rsidRPr="00933B53">
        <w:rPr>
          <w:rFonts w:ascii="Tahoma" w:hAnsi="Tahoma" w:cs="Tahoma"/>
          <w:iCs/>
          <w:sz w:val="20"/>
          <w:szCs w:val="20"/>
          <w:vertAlign w:val="superscript"/>
          <w:lang w:val="en-GB"/>
        </w:rPr>
        <w:t>1</w:t>
      </w:r>
      <w:r w:rsidRPr="00933B53">
        <w:rPr>
          <w:rFonts w:ascii="Tahoma" w:hAnsi="Tahoma" w:cs="Tahoma"/>
          <w:iCs/>
          <w:sz w:val="20"/>
          <w:szCs w:val="20"/>
          <w:lang w:val="en-GB"/>
        </w:rPr>
        <w:t xml:space="preserve">Department of Veterinary Preclinical Science, Faculty of Veterinary Medicine, </w:t>
      </w:r>
      <w:proofErr w:type="spellStart"/>
      <w:r w:rsidRPr="00933B53">
        <w:rPr>
          <w:rFonts w:ascii="Tahoma" w:hAnsi="Tahoma" w:cs="Tahoma"/>
          <w:iCs/>
          <w:sz w:val="20"/>
          <w:szCs w:val="20"/>
          <w:lang w:val="en-GB"/>
        </w:rPr>
        <w:t>Universiti</w:t>
      </w:r>
      <w:proofErr w:type="spellEnd"/>
      <w:r w:rsidRPr="00933B53">
        <w:rPr>
          <w:rFonts w:ascii="Tahoma" w:hAnsi="Tahoma" w:cs="Tahoma"/>
          <w:iCs/>
          <w:sz w:val="20"/>
          <w:szCs w:val="20"/>
          <w:lang w:val="en-GB"/>
        </w:rPr>
        <w:t xml:space="preserve"> Putra Malaysia, 43400, UPM Serdang, Selangor Darul Ehsan, MALAYSIA.</w:t>
      </w:r>
    </w:p>
    <w:p w14:paraId="3D134FC5" w14:textId="77777777" w:rsidR="006072E7" w:rsidRPr="00933B53" w:rsidRDefault="006072E7" w:rsidP="006072E7">
      <w:pPr>
        <w:spacing w:after="0" w:line="240" w:lineRule="auto"/>
        <w:jc w:val="center"/>
        <w:rPr>
          <w:rFonts w:ascii="Tahoma" w:hAnsi="Tahoma" w:cs="Tahoma"/>
          <w:sz w:val="20"/>
          <w:szCs w:val="20"/>
        </w:rPr>
      </w:pPr>
      <w:r w:rsidRPr="00933B53">
        <w:rPr>
          <w:rFonts w:ascii="Tahoma" w:hAnsi="Tahoma" w:cs="Tahoma"/>
          <w:sz w:val="20"/>
          <w:szCs w:val="20"/>
          <w:vertAlign w:val="superscript"/>
        </w:rPr>
        <w:t>2</w:t>
      </w:r>
      <w:r w:rsidRPr="00933B53">
        <w:rPr>
          <w:rFonts w:ascii="Tahoma" w:hAnsi="Tahoma" w:cs="Tahoma"/>
          <w:sz w:val="20"/>
          <w:szCs w:val="20"/>
        </w:rPr>
        <w:t xml:space="preserve">Institute of Tropical Agriculture and Food Safety, </w:t>
      </w:r>
      <w:proofErr w:type="spellStart"/>
      <w:r w:rsidRPr="00933B53">
        <w:rPr>
          <w:rFonts w:ascii="Tahoma" w:hAnsi="Tahoma" w:cs="Tahoma"/>
          <w:sz w:val="20"/>
          <w:szCs w:val="20"/>
        </w:rPr>
        <w:t>Universiti</w:t>
      </w:r>
      <w:proofErr w:type="spellEnd"/>
      <w:r w:rsidRPr="00933B53">
        <w:rPr>
          <w:rFonts w:ascii="Tahoma" w:hAnsi="Tahoma" w:cs="Tahoma"/>
          <w:sz w:val="20"/>
          <w:szCs w:val="20"/>
        </w:rPr>
        <w:t xml:space="preserve"> Putra Malaysia, 43400 UPM Serdang Selangor Darul Ehsan, MALAYSIA.</w:t>
      </w:r>
    </w:p>
    <w:p w14:paraId="7B1E26F9" w14:textId="0B3275AD" w:rsidR="006072E7" w:rsidRPr="00933B53" w:rsidRDefault="006072E7" w:rsidP="006072E7">
      <w:pPr>
        <w:tabs>
          <w:tab w:val="left" w:pos="2977"/>
        </w:tabs>
        <w:spacing w:after="0" w:line="240" w:lineRule="auto"/>
        <w:jc w:val="center"/>
        <w:rPr>
          <w:rFonts w:ascii="Tahoma" w:hAnsi="Tahoma" w:cs="Tahoma"/>
          <w:iCs/>
          <w:sz w:val="20"/>
          <w:szCs w:val="20"/>
          <w:lang w:val="en-GB"/>
        </w:rPr>
      </w:pPr>
      <w:r w:rsidRPr="00933B53">
        <w:rPr>
          <w:rFonts w:ascii="Tahoma" w:hAnsi="Tahoma" w:cs="Tahoma"/>
          <w:iCs/>
          <w:sz w:val="20"/>
          <w:szCs w:val="20"/>
          <w:vertAlign w:val="superscript"/>
          <w:lang w:val="en-GB"/>
        </w:rPr>
        <w:t>3</w:t>
      </w:r>
      <w:r w:rsidRPr="00933B53">
        <w:rPr>
          <w:rFonts w:ascii="Tahoma" w:hAnsi="Tahoma" w:cs="Tahoma"/>
          <w:iCs/>
          <w:sz w:val="20"/>
          <w:szCs w:val="20"/>
          <w:lang w:val="en-GB"/>
        </w:rPr>
        <w:t>Department of Preclinical Science, Faculty of Veterinary Medicine, Shaikh Zayed University, 2501 Khost, AFGHANISTAN.</w:t>
      </w:r>
    </w:p>
    <w:p w14:paraId="2051D2F0" w14:textId="0B6A0BB9" w:rsidR="006072E7" w:rsidRPr="00933B53" w:rsidRDefault="006072E7" w:rsidP="006072E7">
      <w:pPr>
        <w:tabs>
          <w:tab w:val="left" w:pos="2977"/>
        </w:tabs>
        <w:spacing w:after="0" w:line="240" w:lineRule="auto"/>
        <w:jc w:val="center"/>
        <w:rPr>
          <w:rFonts w:ascii="Tahoma" w:hAnsi="Tahoma" w:cs="Tahoma"/>
          <w:i/>
          <w:sz w:val="20"/>
          <w:szCs w:val="20"/>
          <w:lang w:val="en-GB"/>
        </w:rPr>
      </w:pPr>
      <w:r w:rsidRPr="00933B53">
        <w:rPr>
          <w:rFonts w:ascii="Tahoma" w:hAnsi="Tahoma" w:cs="Tahoma"/>
          <w:i/>
          <w:sz w:val="20"/>
          <w:szCs w:val="20"/>
          <w:lang w:val="en-GB"/>
        </w:rPr>
        <w:t>*Corresponding author: hafandi@upm.edu.my</w:t>
      </w:r>
    </w:p>
    <w:p w14:paraId="4ECA2B52" w14:textId="77777777" w:rsidR="006072E7" w:rsidRPr="00933B53" w:rsidRDefault="006072E7" w:rsidP="006072E7">
      <w:pPr>
        <w:spacing w:after="0" w:line="240" w:lineRule="auto"/>
        <w:rPr>
          <w:rFonts w:ascii="Tahoma" w:hAnsi="Tahoma" w:cs="Tahoma"/>
        </w:rPr>
      </w:pPr>
    </w:p>
    <w:p w14:paraId="3CECD536" w14:textId="5F7449EC" w:rsidR="006072E7" w:rsidRPr="00933B53" w:rsidRDefault="006072E7" w:rsidP="006072E7">
      <w:pPr>
        <w:spacing w:after="0" w:line="240" w:lineRule="auto"/>
        <w:jc w:val="center"/>
        <w:rPr>
          <w:rFonts w:ascii="Tahoma" w:eastAsia="Times New Roman" w:hAnsi="Tahoma" w:cs="Tahoma"/>
          <w:b/>
          <w:bCs/>
          <w:lang w:val="en-MY" w:eastAsia="en-GB"/>
        </w:rPr>
      </w:pPr>
      <w:r w:rsidRPr="00933B53">
        <w:rPr>
          <w:rFonts w:ascii="Tahoma" w:eastAsia="Times New Roman" w:hAnsi="Tahoma" w:cs="Tahoma"/>
          <w:b/>
          <w:bCs/>
          <w:lang w:val="en-MY" w:eastAsia="en-GB"/>
        </w:rPr>
        <w:t>Abstract</w:t>
      </w:r>
    </w:p>
    <w:p w14:paraId="6A05E268" w14:textId="77777777" w:rsidR="006072E7" w:rsidRPr="00933B53" w:rsidRDefault="006072E7" w:rsidP="006072E7">
      <w:pPr>
        <w:spacing w:after="0" w:line="240" w:lineRule="auto"/>
        <w:jc w:val="center"/>
        <w:rPr>
          <w:rFonts w:ascii="Tahoma" w:hAnsi="Tahoma" w:cs="Tahoma"/>
          <w:b/>
          <w:bCs/>
        </w:rPr>
      </w:pPr>
    </w:p>
    <w:p w14:paraId="64BC4C16" w14:textId="77777777" w:rsidR="006072E7" w:rsidRPr="00933B53" w:rsidRDefault="006072E7" w:rsidP="006072E7">
      <w:pPr>
        <w:spacing w:after="0" w:line="240" w:lineRule="auto"/>
        <w:ind w:firstLine="708"/>
        <w:jc w:val="both"/>
        <w:rPr>
          <w:rFonts w:ascii="Tahoma" w:eastAsia="Times New Roman" w:hAnsi="Tahoma" w:cs="Tahoma"/>
          <w:lang w:val="en-MY" w:eastAsia="en-GB"/>
        </w:rPr>
      </w:pPr>
      <w:r w:rsidRPr="00933B53">
        <w:rPr>
          <w:rFonts w:ascii="Tahoma" w:eastAsia="Times New Roman" w:hAnsi="Tahoma" w:cs="Tahoma"/>
          <w:lang w:val="en-MY" w:eastAsia="en-GB"/>
        </w:rPr>
        <w:t xml:space="preserve">In mammals, the highest absorption of sialic acid from edible bird’s nest (EBN) occurs in the brain where it participates as an integral part of ganglioside structure in synaptogenesis and neural transmission. Sialic acid in EBN is vital during rapid brain growth particularly for preterm infants, while the effects of multiple generations of dietary EBN on the neuron cellular changes remain unclear. Therefore, this study aimed to determine the effects of dietary EBN on the neurons density and histology of multigenerational mice. C57BL/6 breeder mice (F0) were fed with different sources of EBN for six week using oral gavage. Then, all animals were bred to obtain first generation (F1) until second generation (F2). The brain tissue of all animals were collected for histological study. </w:t>
      </w:r>
      <w:r w:rsidRPr="00933B53">
        <w:rPr>
          <w:rFonts w:ascii="Tahoma" w:hAnsi="Tahoma" w:cs="Tahoma"/>
          <w:color w:val="1C1D1E"/>
          <w:shd w:val="clear" w:color="auto" w:fill="FFFFFF"/>
        </w:rPr>
        <w:t>The sialic acid content from EBN was analyzed using HPLC.</w:t>
      </w:r>
      <w:r w:rsidRPr="00933B53">
        <w:rPr>
          <w:rFonts w:ascii="Tahoma" w:eastAsia="Times New Roman" w:hAnsi="Tahoma" w:cs="Tahoma"/>
          <w:lang w:val="en-MY" w:eastAsia="en-GB"/>
        </w:rPr>
        <w:t xml:space="preserve"> Results showed that dietary EBN increased neurons population in the hippocampus of F0, F1 and F2 by significantly increased the number of neurons compared to control. </w:t>
      </w:r>
      <w:r w:rsidRPr="00933B53">
        <w:rPr>
          <w:rFonts w:ascii="Tahoma" w:hAnsi="Tahoma" w:cs="Tahoma"/>
          <w:color w:val="1C1D1E"/>
        </w:rPr>
        <w:t xml:space="preserve">The content of N-acetylneuraminic acid in 100 g of EBN from North and South Peninsular Malaysia was 3.15 ± 0.34% and 2.97 ± 1.63%, respectively, which were higher compared to EBN from Sabah and commercial. </w:t>
      </w:r>
      <w:r w:rsidRPr="00933B53">
        <w:rPr>
          <w:rFonts w:ascii="Tahoma" w:eastAsia="Times New Roman" w:hAnsi="Tahoma" w:cs="Tahoma"/>
          <w:lang w:val="en-MY" w:eastAsia="en-GB"/>
        </w:rPr>
        <w:t xml:space="preserve">This could indicate that the breeder mice from F0 absorbed sialic acid from EBN which crossed the placenta to contribute </w:t>
      </w:r>
      <w:proofErr w:type="spellStart"/>
      <w:r w:rsidRPr="00933B53">
        <w:rPr>
          <w:rFonts w:ascii="Tahoma" w:eastAsia="Times New Roman" w:hAnsi="Tahoma" w:cs="Tahoma"/>
          <w:lang w:val="en-MY" w:eastAsia="en-GB"/>
        </w:rPr>
        <w:t>fetal</w:t>
      </w:r>
      <w:proofErr w:type="spellEnd"/>
      <w:r w:rsidRPr="00933B53">
        <w:rPr>
          <w:rFonts w:ascii="Tahoma" w:eastAsia="Times New Roman" w:hAnsi="Tahoma" w:cs="Tahoma"/>
          <w:lang w:val="en-MY" w:eastAsia="en-GB"/>
        </w:rPr>
        <w:t xml:space="preserve"> brain development in the third trimester. </w:t>
      </w:r>
      <w:r w:rsidRPr="00933B53">
        <w:rPr>
          <w:rFonts w:ascii="Tahoma" w:eastAsia="Times New Roman" w:hAnsi="Tahoma" w:cs="Tahoma"/>
          <w:bCs/>
          <w:lang w:val="en-MY" w:eastAsia="en-GB"/>
        </w:rPr>
        <w:t xml:space="preserve">In conclusion, dietary </w:t>
      </w:r>
      <w:r w:rsidRPr="00933B53">
        <w:rPr>
          <w:rFonts w:ascii="Tahoma" w:eastAsia="Times New Roman" w:hAnsi="Tahoma" w:cs="Tahoma"/>
          <w:lang w:val="en-MY" w:eastAsia="en-GB"/>
        </w:rPr>
        <w:t xml:space="preserve">EBN increased the number of neurons in the hippocampus of F0, F1 and F2 mice which will influence the brain cognitive performance. </w:t>
      </w:r>
    </w:p>
    <w:p w14:paraId="26BFCF2C" w14:textId="77777777" w:rsidR="006072E7" w:rsidRPr="00933B53" w:rsidRDefault="006072E7" w:rsidP="006072E7">
      <w:pPr>
        <w:autoSpaceDE w:val="0"/>
        <w:autoSpaceDN w:val="0"/>
        <w:adjustRightInd w:val="0"/>
        <w:spacing w:after="0" w:line="240" w:lineRule="auto"/>
        <w:jc w:val="both"/>
        <w:rPr>
          <w:rFonts w:ascii="Tahoma" w:eastAsia="Times New Roman" w:hAnsi="Tahoma" w:cs="Tahoma"/>
          <w:lang w:val="en-MY" w:eastAsia="en-GB"/>
        </w:rPr>
      </w:pPr>
    </w:p>
    <w:p w14:paraId="277B8308" w14:textId="77777777" w:rsidR="006072E7" w:rsidRPr="00933B53" w:rsidRDefault="006072E7" w:rsidP="006072E7">
      <w:pPr>
        <w:autoSpaceDE w:val="0"/>
        <w:autoSpaceDN w:val="0"/>
        <w:adjustRightInd w:val="0"/>
        <w:spacing w:after="0" w:line="240" w:lineRule="auto"/>
        <w:jc w:val="both"/>
        <w:rPr>
          <w:rFonts w:ascii="Tahoma" w:eastAsia="Times New Roman" w:hAnsi="Tahoma" w:cs="Tahoma"/>
          <w:lang w:val="en-MY" w:eastAsia="en-GB"/>
        </w:rPr>
      </w:pPr>
      <w:r w:rsidRPr="00933B53">
        <w:rPr>
          <w:rFonts w:ascii="Tahoma" w:eastAsia="Times New Roman" w:hAnsi="Tahoma" w:cs="Tahoma"/>
          <w:b/>
          <w:bCs/>
          <w:i/>
          <w:iCs/>
          <w:lang w:val="en-MY" w:eastAsia="en-GB"/>
        </w:rPr>
        <w:t>Keywords:</w:t>
      </w:r>
      <w:r w:rsidRPr="00933B53">
        <w:rPr>
          <w:rFonts w:ascii="Tahoma" w:eastAsia="Times New Roman" w:hAnsi="Tahoma" w:cs="Tahoma"/>
          <w:lang w:val="en-MY" w:eastAsia="en-GB"/>
        </w:rPr>
        <w:t xml:space="preserve"> Edible bird’s nest, neuron density, hippocampus, histology, multigenerational mice</w:t>
      </w:r>
    </w:p>
    <w:p w14:paraId="12B4012A" w14:textId="77777777" w:rsidR="006072E7" w:rsidRPr="00933B53" w:rsidRDefault="006072E7" w:rsidP="006072E7">
      <w:pPr>
        <w:autoSpaceDE w:val="0"/>
        <w:autoSpaceDN w:val="0"/>
        <w:adjustRightInd w:val="0"/>
        <w:spacing w:after="0" w:line="240" w:lineRule="auto"/>
        <w:jc w:val="both"/>
        <w:rPr>
          <w:rFonts w:ascii="Tahoma" w:eastAsia="Times New Roman" w:hAnsi="Tahoma" w:cs="Tahoma"/>
          <w:lang w:val="en-MY" w:eastAsia="en-GB"/>
        </w:rPr>
      </w:pPr>
    </w:p>
    <w:p w14:paraId="27D8272B" w14:textId="77777777" w:rsidR="001B317B" w:rsidRPr="00933B53" w:rsidRDefault="001B317B" w:rsidP="006072E7">
      <w:pPr>
        <w:spacing w:after="0" w:line="240" w:lineRule="auto"/>
        <w:rPr>
          <w:rFonts w:ascii="Tahoma" w:hAnsi="Tahoma" w:cs="Tahoma"/>
        </w:rPr>
      </w:pPr>
    </w:p>
    <w:sectPr w:rsidR="001B317B" w:rsidRPr="00933B5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2FA5" w14:textId="77777777" w:rsidR="00B03EC9" w:rsidRDefault="00B03EC9" w:rsidP="00983C3D">
      <w:pPr>
        <w:spacing w:after="0" w:line="240" w:lineRule="auto"/>
      </w:pPr>
      <w:r>
        <w:separator/>
      </w:r>
    </w:p>
  </w:endnote>
  <w:endnote w:type="continuationSeparator" w:id="0">
    <w:p w14:paraId="77D7EBD6" w14:textId="77777777" w:rsidR="00B03EC9" w:rsidRDefault="00B03EC9" w:rsidP="00983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48DB4" w14:textId="77777777" w:rsidR="00B03EC9" w:rsidRDefault="00B03EC9" w:rsidP="00983C3D">
      <w:pPr>
        <w:spacing w:after="0" w:line="240" w:lineRule="auto"/>
      </w:pPr>
      <w:r>
        <w:separator/>
      </w:r>
    </w:p>
  </w:footnote>
  <w:footnote w:type="continuationSeparator" w:id="0">
    <w:p w14:paraId="6A3C4894" w14:textId="77777777" w:rsidR="00B03EC9" w:rsidRDefault="00B03EC9" w:rsidP="00983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5CD8" w14:textId="49D60135" w:rsidR="00983C3D" w:rsidRPr="005F2E62" w:rsidRDefault="00983C3D">
    <w:pPr>
      <w:pStyle w:val="Header"/>
      <w:rPr>
        <w:b/>
        <w:bCs/>
        <w:i/>
        <w:iCs/>
        <w:sz w:val="24"/>
        <w:szCs w:val="24"/>
      </w:rPr>
    </w:pPr>
    <w:r w:rsidRPr="005F2E62">
      <w:rPr>
        <w:b/>
        <w:bCs/>
        <w:i/>
        <w:iCs/>
        <w:sz w:val="24"/>
        <w:szCs w:val="24"/>
      </w:rPr>
      <w:t>LIC202</w:t>
    </w:r>
    <w:r w:rsidR="003977A9">
      <w:rPr>
        <w:b/>
        <w:bCs/>
        <w:i/>
        <w:iCs/>
        <w:sz w:val="24"/>
        <w:szCs w:val="24"/>
      </w:rPr>
      <w:t>6</w:t>
    </w:r>
    <w:r w:rsidRPr="005F2E62">
      <w:rPr>
        <w:b/>
        <w:bCs/>
        <w:i/>
        <w:iCs/>
        <w:sz w:val="24"/>
        <w:szCs w:val="24"/>
      </w:rPr>
      <w:t xml:space="preserve"> - Abstract Format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E7"/>
    <w:rsid w:val="00072DD0"/>
    <w:rsid w:val="001B317B"/>
    <w:rsid w:val="001E7911"/>
    <w:rsid w:val="003977A9"/>
    <w:rsid w:val="004D2A99"/>
    <w:rsid w:val="005F2E62"/>
    <w:rsid w:val="006072E7"/>
    <w:rsid w:val="00762D6E"/>
    <w:rsid w:val="00933B53"/>
    <w:rsid w:val="00983C3D"/>
    <w:rsid w:val="00A545B4"/>
    <w:rsid w:val="00B03EC9"/>
    <w:rsid w:val="00BF3A18"/>
    <w:rsid w:val="00BF7D90"/>
    <w:rsid w:val="00C2116B"/>
    <w:rsid w:val="00D1279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E64C"/>
  <w15:chartTrackingRefBased/>
  <w15:docId w15:val="{B90A5340-5E9C-EB4A-8D89-BBFB6062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2E7"/>
    <w:pPr>
      <w:spacing w:after="160" w:line="259" w:lineRule="auto"/>
    </w:pPr>
    <w:rPr>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C3D"/>
    <w:rPr>
      <w:kern w:val="0"/>
      <w:sz w:val="22"/>
      <w:szCs w:val="22"/>
      <w:lang w:val="en-US"/>
      <w14:ligatures w14:val="none"/>
    </w:rPr>
  </w:style>
  <w:style w:type="paragraph" w:styleId="Footer">
    <w:name w:val="footer"/>
    <w:basedOn w:val="Normal"/>
    <w:link w:val="FooterChar"/>
    <w:uiPriority w:val="99"/>
    <w:unhideWhenUsed/>
    <w:rsid w:val="00983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C3D"/>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1</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HAFANDI BIN AHMAD</dc:creator>
  <cp:keywords/>
  <dc:description/>
  <cp:lastModifiedBy>SUVIK A/L ASSAW</cp:lastModifiedBy>
  <cp:revision>2</cp:revision>
  <dcterms:created xsi:type="dcterms:W3CDTF">2026-02-10T13:21:00Z</dcterms:created>
  <dcterms:modified xsi:type="dcterms:W3CDTF">2026-02-10T13:21:00Z</dcterms:modified>
</cp:coreProperties>
</file>